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bookmarkStart w:id="0" w:name="_GoBack"/>
      <w:bookmarkEnd w:id="0"/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b/>
          <w:kern w:val="0"/>
          <w:sz w:val="20"/>
          <w:szCs w:val="20"/>
        </w:rPr>
        <w:t>Разъяснения ФТС России, Росаккредитации от 29 декабря 2017 года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b/>
          <w:kern w:val="0"/>
        </w:rPr>
        <w:t>О порядке совершения таможенных операций, связанных с ввозом в Российскую Федерацию товаров в качестве проб и образцов для целей проведения исследований и испытаний продукции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Разъяснения ФТС России и Росаккредитации о порядке совершения таможенных операций, связанных с ввозом в Российскую Федерацию товаров в качестве проб и образцов (далее - подконтрольные товары) для целей проведения исследований и испытаний продукции (далее - Разъяснения), разработаны в соответствии с правом Евразийского экономического союза (далее - ЕАЭС), законодательством Российской Федерации и направлены на информирование участников внешнеэкономической деятельности, аккредитованных органов по сертификации, испытательных лабораторий и заинтересованных лиц (далее - хозяйствующие субъекты) в целях соблюдения хозяйствующими субъектами установленных порядка и правил ввоза в Российскую Федерацию подконтрольных товаров, а также сокращения времени и минимизации издержек при совершении таможенных операций в отношении продукции, подлежащей обязательной оценке соответствия.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В целях недопущения возникновения рисков, связанных с причинением вреда жизни и здоровью человека, имуществу, окружающей среде, животного и растительного мира, предупреждения действий, вводящих в заблуждение потребителей, ФТС России совместно с Росаккредитацией проведен анализ правоприменительной практики совершения таможенных операций в отношении подконтрольных товаров и результатов мероприятий государственного контроля за деятельностью аккредитованных лиц.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Анализ показал, что хозяйствующими субъектами надлежащим образом не обеспечивается процедура ввоза в Российскую Федерацию подконтрольных товаров для проведения исследований и испытаний продукции либо ввоз таких товаров не осуществляется в принципе.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Это приводит к тому, что в оформляемых сертификатах соответствия и декларациях о соответствии (далее - разрешительные документы) указываются недостоверные сведения о документах (протоколы испытаний), на основании которых выдаются (принимаются) разрешительные документы.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Подконтрольные товары, ввозимые в Российскую Федерацию, предназначены для проведения исследований и испытаний продукции, которая в последующем будет выпускаться в обращение на территории Российской Федерации в ходе коммерческой деятельности и сопровождаться разрешительными документами, полученными на основе протоколов испытаний ввезенных подконтрольных товаров.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 xml:space="preserve">Такие товары подлежат обязательному таможенному декларированию </w:t>
      </w:r>
      <w:r>
        <w:rPr>
          <w:rFonts w:ascii="Arial" w:hAnsi="Arial" w:cs="Arial"/>
          <w:color w:val="008000"/>
          <w:kern w:val="0"/>
          <w:sz w:val="20"/>
          <w:szCs w:val="20"/>
          <w:u w:val="single"/>
        </w:rPr>
        <w:t>(статья 104 Таможенного кодекса ЕАЭС).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color w:val="008000"/>
          <w:kern w:val="0"/>
          <w:sz w:val="20"/>
          <w:szCs w:val="20"/>
          <w:u w:val="single"/>
        </w:rPr>
        <w:t>Пунктом 4</w:t>
      </w:r>
      <w:r>
        <w:rPr>
          <w:rFonts w:ascii="Arial" w:hAnsi="Arial" w:cs="Arial"/>
          <w:kern w:val="0"/>
          <w:sz w:val="20"/>
          <w:szCs w:val="20"/>
        </w:rPr>
        <w:t xml:space="preserve">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25.12.2012 № 294 (далее - Положение о порядке ввоза), установлено, что при помещении подконтрольной продукции под таможенную процедуру выпуска для внутреннего потребления представление таможенным органам разрешительных документов не требуется.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Вместе с тем в таможенный орган представляются копия договора с органом по сертификации и письмо испытательной лаборатории (центра), в которых указывается количество (вес и объем) подконтрольного товара, необходимое для проведения исследований и испытаний.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Также информируем, что декларация на подконтрольные товары заполняется со следующими особенностями: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в графе 31 "Грузовые места и описание товаров" указывается "пробы и образцы для проведения работ по оценке соответствия (исследований и испытаний)";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 xml:space="preserve">в графе 37 "Процедура" указывается код особенностей перемещения "061" - товары, перемещаемые в качестве проб и образцов для проведения исследований и испытаний, в соответствии с </w:t>
      </w:r>
      <w:r>
        <w:rPr>
          <w:rFonts w:ascii="Arial" w:hAnsi="Arial" w:cs="Arial"/>
          <w:color w:val="008000"/>
          <w:kern w:val="0"/>
          <w:sz w:val="20"/>
          <w:szCs w:val="20"/>
          <w:u w:val="single"/>
        </w:rPr>
        <w:t>Классификатором особенностей перемещения товаров</w:t>
      </w:r>
      <w:r>
        <w:rPr>
          <w:rFonts w:ascii="Arial" w:hAnsi="Arial" w:cs="Arial"/>
          <w:kern w:val="0"/>
          <w:sz w:val="20"/>
          <w:szCs w:val="20"/>
        </w:rPr>
        <w:t xml:space="preserve"> (приложение № 2 к Решению Комиссии Таможенного союза от 20.09.2010 № 378);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в графе 44 под кодом вида документа "01999" указываются реквизиты документов, поименованных выше (пункт 4 Положения о порядке ввоза).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 xml:space="preserve">При ввозе в Российскую Федерацию партии продукции отбор проб и образцов для проведения исследований и испытаний в случае, если такие подконтрольные товары не ввозились ранее, осуществляется заинтересованными лицами с разрешения таможенного органа </w:t>
      </w:r>
      <w:r>
        <w:rPr>
          <w:rFonts w:ascii="Arial" w:hAnsi="Arial" w:cs="Arial"/>
          <w:color w:val="008000"/>
          <w:kern w:val="0"/>
          <w:sz w:val="20"/>
          <w:szCs w:val="20"/>
          <w:u w:val="single"/>
        </w:rPr>
        <w:t>(статья 17 Таможенного кодекса ЕАЭС).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Одновременно информируем, что орган по сертификации при формировании дела сертификата соответствия на серийную продукцию обеспечивает хранение и учет следующих документов (копий документов):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направленных в адрес таможенного органа копии договора с органом по сертификации и письма испытательной лаборатории (центра), подтверждающих необходимость ввоза проб и образцов продукции;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копии декларации на товар или иного документа, принимаемого таможенными органами в качестве таможенной декларации в соответствии с Таможенным кодексом ЕАЭС;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товаросопроводительных документов.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При формировании дела сертификата соответствия на партию продукции орган по сертификации обеспечивает хранение и учет следующих документов (копий документов):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копии декларации на товар или иного документа, принимаемого таможенными органами в качестве таможенной декларации в соответствии с Таможенным кодексом ЕАЭС (в случае, если ввоз в Российскую Федерацию подконтрольных товаров осуществлялся отдельно от партии продукции);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направленных в адрес таможенного органа копии договора с органом по сертификации и письма испытательной лаборатории (центра), подтверждающих необходимость ввоза проб и образцов продукции;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внешнеторгового контракта (договора);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товаросопроводительных документов;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акта отбора проб и образцов (в случае, если отбор подконтрольных товаров осуществляется от ввозимой партии продукции);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разрешения таможенного органа на отбор проб и образцов (в случае, если осуществлен отбор подконтрольных товаров).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В случае проведения исследований и испытаний проб и образцов продукции в целях принятия (регистрации) декларации о соответствии испытательные лаборатории обеспечивают хранение и учет следующих документов (копий документов):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копии декларации на товар или иного документа, принимаемого таможенными органами в качестве таможенной декларации в соответствии с Таможенным кодексом ЕАЭС (в случае, если ввоз в Российскую Федерацию подконтрольных товаров осуществлялся отдельно от партии продукции);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направленных в адрес таможенного органа копии договора с органом по сертификации и письма испытательной лаборатории (центра), подтверждающие необходимость ввоза проб и образцов продукции;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внешнеторгового контракта (договора);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товаросопроводительных документов;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акта отбора проб и образцов (в случае, если отбор подконтрольных товаров осуществляется от ввозимой партии продукции);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разрешения таможенного органа на отбор проб и образцов (в случае, если осуществлен отбор подконтрольных товаров).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 xml:space="preserve">Наличие указанных документов в делах органа по сертификации и испытательной лаборатории в соответствии с </w:t>
      </w:r>
      <w:r>
        <w:rPr>
          <w:rFonts w:ascii="Arial" w:hAnsi="Arial" w:cs="Arial"/>
          <w:color w:val="008000"/>
          <w:kern w:val="0"/>
          <w:sz w:val="20"/>
          <w:szCs w:val="20"/>
          <w:u w:val="single"/>
        </w:rPr>
        <w:t>абзацем шестнадцатым статьи 2</w:t>
      </w:r>
      <w:r>
        <w:rPr>
          <w:rFonts w:ascii="Arial" w:hAnsi="Arial" w:cs="Arial"/>
          <w:kern w:val="0"/>
          <w:sz w:val="20"/>
          <w:szCs w:val="20"/>
        </w:rPr>
        <w:t xml:space="preserve"> Федерального закона от 27.12.2002 № 184-ФЗ "О техническом регулировании" свидетельствует о соблюдении процедуры оценки соответствия продукции обязательным требованиям и может подлежать проверке при осуществлении федерального государственного контроля, включая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аккредитованными лицами.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При отсутствии в органе по сертификации и испытательной лаборатории таких документов соответствующая информация будет передаваться в ФТС России для рассмотрения вопроса о принятии мер по фактам несоблюдения порядка ввоза товаров в Российскую Федерацию.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В настоящее время ФТС России и Росаккредитацией проводится совместная работа, направленная на автоматизацию процессов сверки информации в части, касающейся установления фактов ввоза в Российскую Федерацию участниками внешнеэкономической деятельности проб и образцов продукции для целей проведения процедур оценки ее соответствия обязательным требованиям.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Результаты такой сверки будут использоваться для проведения следующих контрольных мероприятий: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со стороны ФТС России - для пресечения попыток ввоза продукции в Российскую Федерацию, сопровождаемой разрешительными документами, оформленными в нарушение установленного порядка, недобросовестными участниками внешнеэкономической деятельности;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со стороны Росаккредитации - для проведения проверочных мероприятий в отношении аккредитованных органов по сертификации, испытательных лабораторий (центров);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со стороны уполномоченных государственных органов по обеспечению государственного контроля (надзора) за соблюдением требований технических регламентов ЕАЭС (Таможенного союза) (Роспотребнадзор, Россельхознадзор, Росстандарт и другие) - для проведения проверочных мероприятий в отношении продукции, находящейся в обращении на территории Российской Федерации.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Работа по данному направлению является приоритетной задачей в деятельности ФТС России и Росаккредитации в 2018 году и направлена, прежде всего, на повышение безопасности ввозимых в Российскую Федерацию товаров.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t>Разъяснения носят рекомендательный и информационный характер.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560"/>
        <w:gridCol w:w="4635"/>
      </w:tblGrid>
      <w:tr w:rsidR="00753D46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53D46" w:rsidRDefault="00753D4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Заместитель руководителя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  <w:t>Федеральной таможенной службы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3D46" w:rsidRDefault="00753D4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  <w:t>Т.И.Максимов</w:t>
            </w:r>
          </w:p>
        </w:tc>
      </w:tr>
      <w:tr w:rsidR="00753D46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53D46" w:rsidRDefault="00753D4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Заместитель руководителя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  <w:t>Федеральной службы по аккредитации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3D46" w:rsidRDefault="00753D4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  <w:t>С.В.Мигин</w:t>
            </w:r>
          </w:p>
        </w:tc>
      </w:tr>
    </w:tbl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color w:val="0000C8"/>
          <w:kern w:val="0"/>
          <w:sz w:val="20"/>
          <w:szCs w:val="20"/>
        </w:rPr>
        <w:t>&lt; Документ включен в версию 13.13 (05.01.2018) &gt;</w:t>
      </w:r>
    </w:p>
    <w:p w:rsidR="00753D46" w:rsidRDefault="00753D46" w:rsidP="00753D46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:rsidR="00C511A8" w:rsidRDefault="00C511A8"/>
    <w:sectPr w:rsidR="00C511A8" w:rsidSect="00FB4D79">
      <w:headerReference w:type="default" r:id="rId6"/>
      <w:footerReference w:type="default" r:id="rId7"/>
      <w:pgSz w:w="11906" w:h="16838"/>
      <w:pgMar w:top="1134" w:right="850" w:bottom="1134" w:left="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81" w:rsidRDefault="00BA3E81">
      <w:r>
        <w:separator/>
      </w:r>
    </w:p>
  </w:endnote>
  <w:endnote w:type="continuationSeparator" w:id="0">
    <w:p w:rsidR="00BA3E81" w:rsidRDefault="00BA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79" w:rsidRDefault="00753D46" w:rsidP="00FB4D79">
    <w:r>
      <w:rPr>
        <w:rFonts w:ascii="Arial" w:hAnsi="Arial" w:cs="Arial"/>
        <w:kern w:val="0"/>
        <w:sz w:val="16"/>
        <w:szCs w:val="16"/>
        <w:lang w:eastAsia="ru-RU"/>
      </w:rPr>
      <w:t xml:space="preserve">Стр. № </w:t>
    </w:r>
    <w:r w:rsidRPr="008C4428">
      <w:rPr>
        <w:rFonts w:ascii="Arial" w:hAnsi="Arial" w:cs="Arial"/>
        <w:kern w:val="0"/>
        <w:sz w:val="16"/>
        <w:szCs w:val="16"/>
        <w:lang w:val="en-US" w:eastAsia="ru-RU"/>
      </w:rPr>
      <w:fldChar w:fldCharType="begin"/>
    </w:r>
    <w:r w:rsidRPr="008C4428">
      <w:rPr>
        <w:rFonts w:ascii="Arial" w:hAnsi="Arial" w:cs="Arial"/>
        <w:kern w:val="0"/>
        <w:sz w:val="16"/>
        <w:szCs w:val="16"/>
        <w:lang w:val="en-US" w:eastAsia="ru-RU"/>
      </w:rPr>
      <w:instrText xml:space="preserve"> PAGE </w:instrText>
    </w:r>
    <w:r w:rsidRPr="008C4428">
      <w:rPr>
        <w:rFonts w:ascii="Arial" w:hAnsi="Arial" w:cs="Arial"/>
        <w:kern w:val="0"/>
        <w:sz w:val="16"/>
        <w:szCs w:val="16"/>
        <w:lang w:val="en-US" w:eastAsia="ru-RU"/>
      </w:rPr>
      <w:fldChar w:fldCharType="separate"/>
    </w:r>
    <w:r w:rsidR="00E81B63">
      <w:rPr>
        <w:rFonts w:ascii="Arial" w:hAnsi="Arial" w:cs="Arial"/>
        <w:noProof/>
        <w:kern w:val="0"/>
        <w:sz w:val="16"/>
        <w:szCs w:val="16"/>
        <w:lang w:val="en-US" w:eastAsia="ru-RU"/>
      </w:rPr>
      <w:t>2</w:t>
    </w:r>
    <w:r w:rsidRPr="008C4428">
      <w:rPr>
        <w:rFonts w:ascii="Arial" w:hAnsi="Arial" w:cs="Arial"/>
        <w:kern w:val="0"/>
        <w:sz w:val="16"/>
        <w:szCs w:val="16"/>
        <w:lang w:val="en-US" w:eastAsia="ru-RU"/>
      </w:rPr>
      <w:fldChar w:fldCharType="end"/>
    </w:r>
    <w:r>
      <w:rPr>
        <w:rFonts w:ascii="Arial" w:hAnsi="Arial" w:cs="Arial"/>
        <w:kern w:val="0"/>
        <w:sz w:val="16"/>
        <w:szCs w:val="16"/>
        <w:lang w:eastAsia="ru-RU"/>
      </w:rPr>
      <w:t xml:space="preserve"> (CTM Ltd.) Справочник ВЭД-Инфо, версия 13.13 (5 января 2018 г.)  ( расширенная версия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81" w:rsidRDefault="00BA3E81">
      <w:r>
        <w:separator/>
      </w:r>
    </w:p>
  </w:footnote>
  <w:footnote w:type="continuationSeparator" w:id="0">
    <w:p w:rsidR="00BA3E81" w:rsidRDefault="00BA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79" w:rsidRDefault="00753D46">
    <w:pPr>
      <w:autoSpaceDE w:val="0"/>
      <w:autoSpaceDN w:val="0"/>
      <w:adjustRightInd w:val="0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/>
        <w:kern w:val="0"/>
        <w:sz w:val="16"/>
        <w:szCs w:val="16"/>
      </w:rPr>
      <w:t>Разъяснения ФТС России, Росаккредитации от 29.12.2017. О порядке совершения таможенных операций, связанных с ввозом в Российскую Федерацию товаров в качестве проб и образцов для целей проведения исследований и испытаний продукции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46"/>
    <w:rsid w:val="00753D46"/>
    <w:rsid w:val="00BA3E81"/>
    <w:rsid w:val="00C511A8"/>
    <w:rsid w:val="00E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1BB4-F86A-427D-928D-0A7B62F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bCs/>
        <w:color w:val="333333"/>
        <w:kern w:val="36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Волгова Юлия Анатольевна</cp:lastModifiedBy>
  <cp:revision>2</cp:revision>
  <dcterms:created xsi:type="dcterms:W3CDTF">2018-01-26T06:23:00Z</dcterms:created>
  <dcterms:modified xsi:type="dcterms:W3CDTF">2018-01-26T06:23:00Z</dcterms:modified>
</cp:coreProperties>
</file>