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shd w:fill="ffffff" w:val="clear"/>
        <w:spacing w:after="80" w:lineRule="auto"/>
        <w:contextualSpacing w:val="0"/>
        <w:rPr>
          <w:rFonts w:ascii="Verdana" w:cs="Verdana" w:eastAsia="Verdana" w:hAnsi="Verdana"/>
          <w:b w:val="1"/>
          <w:sz w:val="34"/>
          <w:szCs w:val="34"/>
        </w:rPr>
      </w:pPr>
      <w:bookmarkStart w:colFirst="0" w:colLast="0" w:name="_1jilaieb00j2" w:id="0"/>
      <w:bookmarkEnd w:id="0"/>
      <w:r w:rsidDel="00000000" w:rsidR="00000000" w:rsidRPr="00000000">
        <w:rPr>
          <w:rFonts w:ascii="Verdana" w:cs="Verdana" w:eastAsia="Verdana" w:hAnsi="Verdana"/>
          <w:b w:val="1"/>
          <w:sz w:val="34"/>
          <w:szCs w:val="34"/>
          <w:rtl w:val="0"/>
        </w:rPr>
        <w:t xml:space="preserve">Нотификация, лицензия Минпромторга</w:t>
      </w:r>
    </w:p>
    <w:p w:rsidR="00000000" w:rsidDel="00000000" w:rsidP="00000000" w:rsidRDefault="00000000" w:rsidRPr="00000000">
      <w:pPr>
        <w:shd w:fill="ffffff" w:val="clear"/>
        <w:spacing w:after="40" w:lineRule="auto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Ввоз и вывоз изделий со встроенными криптошифровальными средствами осуществляются при: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подтверждении факта внесения сведений о включении нотификационного уведомления в соответствующий реестр;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наличии лицензии Минпромторга.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40" w:lineRule="auto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Нотификация представляет собой официально сделанное зарубежным изготовителем и принятое к сведению ЦЛСЗ ФСБ заявление о технических и криптографических параметрах импортируемого товара. При наличии доверенности нотификационное уведомление может быть подано отечественным поставщиком.</w:t>
      </w:r>
    </w:p>
    <w:p w:rsidR="00000000" w:rsidDel="00000000" w:rsidP="00000000" w:rsidRDefault="00000000" w:rsidRPr="00000000">
      <w:pPr>
        <w:shd w:fill="ffffff" w:val="clear"/>
        <w:spacing w:after="40" w:lineRule="auto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По своей юридической природе нотификация – декларативный документ. Компетентные органы (в РФ – ЦЛСЗ ФСБ) исходят из презумпции правдивости заявленных сведений и дополнительно их не проверяют. Лицензию Минпромторга, наоборот, можно получить только на основании результатов проведенных испытаний. В целом нотификация в ФСБ проще, нежели лицензирование в Минпромторге. </w:t>
      </w:r>
    </w:p>
    <w:p w:rsidR="00000000" w:rsidDel="00000000" w:rsidP="00000000" w:rsidRDefault="00000000" w:rsidRPr="00000000">
      <w:pPr>
        <w:pStyle w:val="Heading2"/>
        <w:keepNext w:val="0"/>
        <w:keepLines w:val="0"/>
        <w:shd w:fill="ffffff" w:val="clear"/>
        <w:spacing w:after="80" w:lineRule="auto"/>
        <w:contextualSpacing w:val="0"/>
        <w:rPr>
          <w:rFonts w:ascii="Verdana" w:cs="Verdana" w:eastAsia="Verdana" w:hAnsi="Verdana"/>
          <w:b w:val="1"/>
          <w:sz w:val="34"/>
          <w:szCs w:val="34"/>
        </w:rPr>
      </w:pPr>
      <w:bookmarkStart w:colFirst="0" w:colLast="0" w:name="_awh2p0e6krri" w:id="1"/>
      <w:bookmarkEnd w:id="1"/>
      <w:r w:rsidDel="00000000" w:rsidR="00000000" w:rsidRPr="00000000">
        <w:rPr>
          <w:rFonts w:ascii="Verdana" w:cs="Verdana" w:eastAsia="Verdana" w:hAnsi="Verdana"/>
          <w:b w:val="1"/>
          <w:sz w:val="34"/>
          <w:szCs w:val="34"/>
          <w:rtl w:val="0"/>
        </w:rPr>
        <w:t xml:space="preserve">Подлежащие нотификации/лицензированию изделия и продукты</w:t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При формировании перечня учтены:</w:t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используемый криптошифровальный алгоритм;</w:t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длина ключа;</w:t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особенности дискретного логарифма.</w:t>
      </w:r>
    </w:p>
    <w:p w:rsidR="00000000" w:rsidDel="00000000" w:rsidP="00000000" w:rsidRDefault="00000000" w:rsidRPr="00000000">
      <w:pPr>
        <w:shd w:fill="ffffff" w:val="clear"/>
        <w:spacing w:after="40" w:lineRule="auto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К числу изделий, вмещающих криптошифровальные средства, отнесены: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электронная подпись;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мобильные, радиотелефоны;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средства Wi-Fi, Bluetooth, NFC;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аппаратура для радио- и телевещания;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оборудование для проведения финансовых операций;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принтеры, факсимильные аппараты, их электронные модули;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планшетные компьютеры;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персональные смарт-карты;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отдельные программные продукты;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электронные интегральные схемы;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шифрующие запоминающие устройства.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40" w:lineRule="auto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Нотификация не нужна при ввозе оборудования для таких целей: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исследование;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транзитная перевозка;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удовлетворение собственных потребностей без права реализации;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временный ввоз, например – для экспонирования.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hd w:fill="ffffff" w:val="clear"/>
        <w:spacing w:after="80" w:lineRule="auto"/>
        <w:contextualSpacing w:val="0"/>
        <w:rPr>
          <w:rFonts w:ascii="Verdana" w:cs="Verdana" w:eastAsia="Verdana" w:hAnsi="Verdana"/>
          <w:b w:val="1"/>
          <w:sz w:val="34"/>
          <w:szCs w:val="34"/>
        </w:rPr>
      </w:pPr>
      <w:bookmarkStart w:colFirst="0" w:colLast="0" w:name="_aepho1xkn7ri" w:id="2"/>
      <w:bookmarkEnd w:id="2"/>
      <w:r w:rsidDel="00000000" w:rsidR="00000000" w:rsidRPr="00000000">
        <w:rPr>
          <w:rFonts w:ascii="Verdana" w:cs="Verdana" w:eastAsia="Verdana" w:hAnsi="Verdana"/>
          <w:b w:val="1"/>
          <w:sz w:val="34"/>
          <w:szCs w:val="34"/>
          <w:rtl w:val="0"/>
        </w:rPr>
        <w:t xml:space="preserve">Процедурные аспекты получение нотификации ФСБ</w:t>
      </w:r>
    </w:p>
    <w:p w:rsidR="00000000" w:rsidDel="00000000" w:rsidP="00000000" w:rsidRDefault="00000000" w:rsidRPr="00000000">
      <w:pPr>
        <w:shd w:fill="ffffff" w:val="clear"/>
        <w:spacing w:after="40" w:lineRule="auto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Нотификации заполняется на портале Евразийской экономической комиссии. Оформляется разово на каждую разновидность товара. Допускается формирование нотификации на группу изделий при одновременном соблюдении следующих условий: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использованы идентичные криптошифровальные механизмы;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реализуется единый алгоритм;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использован ключ одной длины;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функциональные параметры изделий идентичны;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при введении одного ключа, идентичной входной последовательности на выходе получается та же последовательность.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Для оформления заявки необходимо: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заполнить электронный формуляр;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распечатать документ;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представить в ФСБ два экземпляра распечатанного бланка и его электронную копию.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Последовательность действий проста. Основные трудности касаются содержания формуляра.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В графе 1 необходимо правильно указать наименование товара с добавлением сведений об артикулах, стандартах, моделях и подобном. Допустимо указание «и запчасти».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Придерживаясь общепринятых правил, в графе 2 нужно описать изделие и его функции.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В графе 4 описываются примененные при изготовлении изделия криптошифровальные алгоритмы. В частности, необходимо указать наименование протокола; предназначение алгоритма, граничную длину ключа. Если один или несколько криптографических алгоритмов заблокированы изготовителем, на это нужно сослаться. В отношении многофункционального товара протокол указывается для каждой из реализуемых функций.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В графе 5 описываются функциональные возможности изделия, не обозначенные в представленной изготовителем документации.</w:t>
      </w:r>
    </w:p>
    <w:p w:rsidR="00000000" w:rsidDel="00000000" w:rsidP="00000000" w:rsidRDefault="00000000" w:rsidRPr="00000000">
      <w:pPr>
        <w:spacing w:after="40" w:lineRule="auto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rPr>
          <w:rFonts w:ascii="Verdana" w:cs="Verdana" w:eastAsia="Verdana" w:hAnsi="Verdana"/>
          <w:b w:val="1"/>
          <w:sz w:val="30"/>
          <w:szCs w:val="30"/>
        </w:rPr>
      </w:pPr>
      <w:bookmarkStart w:colFirst="0" w:colLast="0" w:name="_nrhwc0sc5rej" w:id="3"/>
      <w:bookmarkEnd w:id="3"/>
      <w:r w:rsidDel="00000000" w:rsidR="00000000" w:rsidRPr="00000000">
        <w:rPr>
          <w:rFonts w:ascii="Verdana" w:cs="Verdana" w:eastAsia="Verdana" w:hAnsi="Verdana"/>
          <w:b w:val="1"/>
          <w:sz w:val="30"/>
          <w:szCs w:val="30"/>
          <w:rtl w:val="0"/>
        </w:rPr>
        <w:t xml:space="preserve">Сложности самостоятельного проведения процедуры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Отнесение товара к неверной категории, ошибки или неточности при описании криптошифровальных алгоритмов, выбор неправильных протоколов, умолчание о значимых с точки зрения чиновников сведениях, – все это и многое другое может стать основанием для отказа в регистрации поданного формуляра. ЦЛСЗ ФСБ обязан уведомить заявителя о результате рассмотрения заявки на протяжении 7 рабочих дней (п. 21 Положения о нотификации). В случае отказа обращаться придется заново. И снова жать – с непрогнозируемым результатом.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У импортера могут возникать сложности с переводом технических описаний с иностранного языка на русский. Это, в свою очередь, провоцирует ошибки.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40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Успешно проведенное согласование может быть отменено. Согласно п. 28 упомянутого Положения ЦЛСЗ ФСБ аннулирует нотификацию при: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выявлении недостоверных или неполных сведений;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нахождении у изделия криптографических функций, не описанных заявителем;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установлении отличия заявленных и реальных шифровальных параметров.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Verdana" w:cs="Verdana" w:eastAsia="Verdana" w:hAnsi="Verdana"/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